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c2uvni1a2cf" w:id="0"/>
      <w:bookmarkEnd w:id="0"/>
      <w:r w:rsidDel="00000000" w:rsidR="00000000" w:rsidRPr="00000000">
        <w:rPr>
          <w:rtl w:val="0"/>
        </w:rPr>
        <w:t xml:space="preserve">Реквизиты для платежей через банк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  <w:t xml:space="preserve">Получатель: </w:t>
      </w:r>
      <w:r w:rsidDel="00000000" w:rsidR="00000000" w:rsidRPr="00000000">
        <w:rPr>
          <w:b w:val="1"/>
          <w:rtl w:val="0"/>
        </w:rPr>
        <w:t xml:space="preserve">Благотворительный фонд «Ростов Православный»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ОГРН: 1137600000340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ИНН / КПП: 7609024522 /760901001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Расч. счет: 40703810419020000127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Банк: в Московском филиале "БАНК СГБ" г. Москва / БИК: 044525094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Корр. счет: 30101810245250000094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Пожалуйста, указывайте в основании платежа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Пожертвование на восстановление храма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Вы можете оформить регулярное пожертвование в своем банке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Уточните в банке, можно ли оформить длительное поручение вкладчика. Другие варианты формулировок: долгосрочное поручение, списание со счета.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Оформите в банке заявление, в котором указаны реквизиты фонда  «Ростов Православный», регулярность и сумму списания, а также назначение платежа. Как правило, банк берет комиссию за регулярное списание. </w:t>
      </w:r>
    </w:p>
    <w:sectPr>
      <w:pgSz w:h="16838" w:w="11906"/>
      <w:pgMar w:bottom="748.8" w:top="748.8" w:left="748.8" w:right="748.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